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2EA1" w:rsidRPr="00AF2EA1" w:rsidRDefault="00AF2EA1" w:rsidP="00AF2EA1">
      <w:pPr>
        <w:tabs>
          <w:tab w:val="left" w:pos="3906"/>
          <w:tab w:val="center" w:pos="4252"/>
        </w:tabs>
        <w:jc w:val="right"/>
        <w:rPr>
          <w:sz w:val="56"/>
          <w:szCs w:val="56"/>
        </w:rPr>
      </w:pPr>
      <w:r w:rsidRPr="00DD707B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96ADC3" wp14:editId="7494D785">
                <wp:simplePos x="0" y="0"/>
                <wp:positionH relativeFrom="column">
                  <wp:posOffset>-664001</wp:posOffset>
                </wp:positionH>
                <wp:positionV relativeFrom="paragraph">
                  <wp:posOffset>-478185</wp:posOffset>
                </wp:positionV>
                <wp:extent cx="6665965" cy="1823324"/>
                <wp:effectExtent l="0" t="0" r="1905" b="5715"/>
                <wp:wrapNone/>
                <wp:docPr id="5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65" cy="1823324"/>
                          <a:chOff x="0" y="0"/>
                          <a:chExt cx="6665965" cy="1810512"/>
                        </a:xfrm>
                      </wpg:grpSpPr>
                      <wps:wsp>
                        <wps:cNvPr id="43" name="Retângulo vermelho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írculo vermelho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írculo branco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6A266" id="Grupo 1" o:spid="_x0000_s1026" style="position:absolute;margin-left:-52.3pt;margin-top:-37.65pt;width:524.9pt;height:143.5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">
                <v:rect id="Retângulo vermelh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5b9bd5 [3204]" stroked="f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vermelh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5b9bd5 [3204]" stroked="f" strokeweight="1pt">
                  <v:stroke joinstyle="miter"/>
                </v:shape>
                <v:oval id="Círculo br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705CFF0" wp14:editId="45070167">
            <wp:simplePos x="0" y="0"/>
            <wp:positionH relativeFrom="column">
              <wp:posOffset>-237490</wp:posOffset>
            </wp:positionH>
            <wp:positionV relativeFrom="paragraph">
              <wp:posOffset>-144267</wp:posOffset>
            </wp:positionV>
            <wp:extent cx="957580" cy="1127125"/>
            <wp:effectExtent l="0" t="0" r="0" b="0"/>
            <wp:wrapNone/>
            <wp:docPr id="62" name="Picture 2" descr="Portal Oficial da Prefeitura Municipal de Campos dos Goytaca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2" descr="Portal Oficial da Prefeitura Municipal de Campos dos Goytacaz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27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AF2EA1">
        <w:rPr>
          <w:color w:val="FFFFFF" w:themeColor="background1"/>
          <w:sz w:val="56"/>
          <w:szCs w:val="56"/>
        </w:rPr>
        <w:t>PREFEITURA DE CAMPOS DOS GOYTACAZES</w:t>
      </w:r>
    </w:p>
    <w:p w:rsidR="007D7697" w:rsidRDefault="00AF2EA1" w:rsidP="00AF2EA1">
      <w:pPr>
        <w:tabs>
          <w:tab w:val="left" w:pos="3906"/>
          <w:tab w:val="center" w:pos="4252"/>
        </w:tabs>
      </w:pPr>
      <w:r>
        <w:tab/>
      </w:r>
    </w:p>
    <w:p w:rsidR="00AF2EA1" w:rsidRDefault="00AF2EA1" w:rsidP="00AF2EA1">
      <w:pPr>
        <w:tabs>
          <w:tab w:val="left" w:pos="3906"/>
          <w:tab w:val="center" w:pos="4252"/>
        </w:tabs>
      </w:pPr>
    </w:p>
    <w:p w:rsidR="00AF2EA1" w:rsidRDefault="00AF2EA1" w:rsidP="00AF2EA1">
      <w:pPr>
        <w:tabs>
          <w:tab w:val="left" w:pos="3906"/>
          <w:tab w:val="center" w:pos="4252"/>
        </w:tabs>
      </w:pPr>
    </w:p>
    <w:p w:rsidR="00AF2EA1" w:rsidRDefault="00AF2EA1" w:rsidP="00AF2EA1">
      <w:pPr>
        <w:tabs>
          <w:tab w:val="left" w:pos="3906"/>
          <w:tab w:val="center" w:pos="4252"/>
        </w:tabs>
      </w:pPr>
    </w:p>
    <w:p w:rsidR="00AF2EA1" w:rsidRDefault="00AF2EA1" w:rsidP="00AF2EA1">
      <w:pPr>
        <w:pStyle w:val="PargrafodaLista"/>
        <w:numPr>
          <w:ilvl w:val="0"/>
          <w:numId w:val="1"/>
        </w:numPr>
        <w:tabs>
          <w:tab w:val="left" w:pos="3906"/>
          <w:tab w:val="center" w:pos="4252"/>
        </w:tabs>
        <w:rPr>
          <w:b/>
          <w:sz w:val="40"/>
          <w:szCs w:val="40"/>
          <w:u w:val="single"/>
        </w:rPr>
      </w:pPr>
      <w:r w:rsidRPr="00AF2EA1">
        <w:rPr>
          <w:b/>
          <w:sz w:val="40"/>
          <w:szCs w:val="40"/>
          <w:u w:val="single"/>
        </w:rPr>
        <w:t>Benefícios Fiscais</w:t>
      </w:r>
    </w:p>
    <w:p w:rsidR="00AF2EA1" w:rsidRDefault="00AF2EA1" w:rsidP="00AF2EA1">
      <w:pPr>
        <w:tabs>
          <w:tab w:val="left" w:pos="3906"/>
          <w:tab w:val="center" w:pos="4252"/>
        </w:tabs>
        <w:rPr>
          <w:b/>
        </w:rPr>
      </w:pPr>
    </w:p>
    <w:p w:rsidR="00AF2EA1" w:rsidRDefault="00AF2EA1" w:rsidP="00AF2EA1">
      <w:pPr>
        <w:tabs>
          <w:tab w:val="left" w:pos="3906"/>
          <w:tab w:val="center" w:pos="4252"/>
        </w:tabs>
        <w:rPr>
          <w:b/>
        </w:rPr>
      </w:pPr>
    </w:p>
    <w:p w:rsidR="00AF2EA1" w:rsidRPr="00AF2EA1" w:rsidRDefault="006F4075" w:rsidP="00AF2EA1">
      <w:pPr>
        <w:tabs>
          <w:tab w:val="left" w:pos="3906"/>
          <w:tab w:val="center" w:pos="4252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Isenções</w:t>
      </w:r>
      <w:r w:rsidR="00F84484">
        <w:rPr>
          <w:b/>
          <w:sz w:val="32"/>
          <w:szCs w:val="32"/>
          <w:u w:val="single"/>
        </w:rPr>
        <w:t>/Lei Orgânica Municipal</w:t>
      </w:r>
    </w:p>
    <w:p w:rsidR="00AF2EA1" w:rsidRPr="00AF2EA1" w:rsidRDefault="00AF2EA1" w:rsidP="00AF2EA1">
      <w:pPr>
        <w:tabs>
          <w:tab w:val="left" w:pos="3906"/>
          <w:tab w:val="center" w:pos="4252"/>
        </w:tabs>
        <w:rPr>
          <w:b/>
        </w:rPr>
      </w:pPr>
    </w:p>
    <w:p w:rsidR="00AF2EA1" w:rsidRPr="00AF2EA1" w:rsidRDefault="00AF2EA1" w:rsidP="00AF2EA1">
      <w:pPr>
        <w:tabs>
          <w:tab w:val="left" w:pos="3906"/>
          <w:tab w:val="center" w:pos="4252"/>
        </w:tabs>
        <w:rPr>
          <w:b/>
        </w:rPr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Art. 235 Estão isentos do imposto: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 xml:space="preserve">I - </w:t>
      </w:r>
      <w:proofErr w:type="gramStart"/>
      <w:r w:rsidRPr="00AF2EA1">
        <w:t>o</w:t>
      </w:r>
      <w:proofErr w:type="gramEnd"/>
      <w:r w:rsidRPr="00AF2EA1">
        <w:t xml:space="preserve"> proprietário do imóvel, ou o titular de direito real sobre o imóvel em que estiverem funcionando quaisquer atividades exercidas pelos poderes da União, Estados, Distrito Federal e Municípios, por suas autarquias ou fundações, durante o período de funcionamento destes serviços;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 xml:space="preserve">II - </w:t>
      </w:r>
      <w:proofErr w:type="gramStart"/>
      <w:r w:rsidRPr="00AF2EA1">
        <w:t>as</w:t>
      </w:r>
      <w:proofErr w:type="gramEnd"/>
      <w:r w:rsidRPr="00AF2EA1">
        <w:t xml:space="preserve"> pessoas jurídicas estrangeiras, de direito público, relativamente aos imóveis de sua propriedade ou os imóveis que sejam destinados ao uso de sua missão diplomática ou consular;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III - os imóveis de propriedade de sociedades desportivas, culturais e recreativas, sem finalidade lucrativa e as associações de classe de servidores do Município de Campos dos Goytacazes;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 xml:space="preserve">IV - </w:t>
      </w:r>
      <w:proofErr w:type="gramStart"/>
      <w:r w:rsidRPr="00AF2EA1">
        <w:t>as</w:t>
      </w:r>
      <w:proofErr w:type="gramEnd"/>
      <w:r w:rsidRPr="00AF2EA1">
        <w:t xml:space="preserve"> áreas declaradas pelo Conselho Municipal de Meio Ambiente, como de preservação ecológica;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 xml:space="preserve">V - </w:t>
      </w:r>
      <w:proofErr w:type="gramStart"/>
      <w:r w:rsidRPr="00AF2EA1">
        <w:t>área</w:t>
      </w:r>
      <w:proofErr w:type="gramEnd"/>
      <w:r w:rsidRPr="00AF2EA1">
        <w:t xml:space="preserve"> territorial utilizada como horta comunitária, desde que sua atividade seja reconhecida pela Superintendência Municipal de Agricultura, e não haja alteração na sua finalidade;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lastRenderedPageBreak/>
        <w:t xml:space="preserve">VI - </w:t>
      </w:r>
      <w:proofErr w:type="gramStart"/>
      <w:r w:rsidRPr="00AF2EA1">
        <w:t>o</w:t>
      </w:r>
      <w:proofErr w:type="gramEnd"/>
      <w:r w:rsidRPr="00AF2EA1">
        <w:t xml:space="preserve"> titular de um único imóvel, cujo valor venal seja igual ou inferior a 300 (trezentas) UFICA`S, desde que utilizado para sua residência, persistindo o direito à isenção após o seu falecimento, desde que o imóvel continue a ser utilizado como residência do cônjuge ou de seus filhos até que alcancem a maioridade civil;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VII - os imóveis de propriedade de entidades civis sem fins lucrativos, desde que utilizados na prestação de serviços e informações de interesse público para a municipalidade, mediante contrato, convênio ou instrumento congênere a ser firmado com o Poder Executivo Municipal.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>VIII - os imóveis nos quais se encontrem estabelecidas indústrias que se instalarem na CODIN (Companhia de Distritos Industriais) ou na Zona de Especial de Negócio - ZEN, sob a administração do governo do Estado do Rio de Janeiro, do Município de Campos dos Goytacazes ou de entidade particular, com sede em Campos, pelo prazo de 10 (dez) anos, a partir do momento em que requererem a isenção;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highlight w:val="yellow"/>
        </w:rPr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>IX - os imóveis nos quais se encontre estabelecida empresa que se dedique às atividades de que tratam os itens 32, 33 e 34 da Lista de Serviços anexa ao Decreto-Lei 406/1968 e que se instalarem na CODIN (Companhia de Distritos industriais) ou na Zona de Especial de Negócio - ZEN, sob a administração do governo do Estado do Rio de Janeiro, do Município de Campos dos Goytacazes ou de entidade particular, com sede em Campos, pelo prazo de 10 (dez) anos, a partir do momento em que requererem a isenção;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highlight w:val="yellow"/>
        </w:rPr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 xml:space="preserve">X - os imóveis nos quais se encontre estabelecida empresa do setor de óleo e gás, de atividades do ramo de pesquisa sísmica, perfuração, </w:t>
      </w:r>
      <w:proofErr w:type="spellStart"/>
      <w:r w:rsidRPr="00F84484">
        <w:rPr>
          <w:b/>
          <w:highlight w:val="yellow"/>
        </w:rPr>
        <w:t>completação</w:t>
      </w:r>
      <w:proofErr w:type="spellEnd"/>
      <w:r w:rsidRPr="00F84484">
        <w:rPr>
          <w:b/>
          <w:highlight w:val="yellow"/>
        </w:rPr>
        <w:t xml:space="preserve">, produção, cimentação, </w:t>
      </w:r>
      <w:proofErr w:type="spellStart"/>
      <w:r w:rsidRPr="00F84484">
        <w:rPr>
          <w:b/>
          <w:highlight w:val="yellow"/>
        </w:rPr>
        <w:t>perfilagem</w:t>
      </w:r>
      <w:proofErr w:type="spellEnd"/>
      <w:r w:rsidRPr="00F84484">
        <w:rPr>
          <w:b/>
          <w:highlight w:val="yellow"/>
        </w:rPr>
        <w:t>, estimulação e outras atividades de serviços relacionados com a exploração e a exploração de petróleo e gás natural, situadas no Distrito de Serrinha, com área delimitada pelo Poder Executivo Municipal, nas proximidades da Rodovia BR-101, pelo prazo de 10 (dez) anos, a partir do momento em que requererem a isenção;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highlight w:val="yellow"/>
        </w:rPr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  <w:rPr>
          <w:b/>
        </w:rPr>
      </w:pPr>
      <w:r w:rsidRPr="00F84484">
        <w:rPr>
          <w:b/>
          <w:highlight w:val="yellow"/>
        </w:rPr>
        <w:t>XI - a indústria que, mantendo no mínimo 100 (cem) empregados, tenha sua sede e desenvolva suas atividades nos distritos distantes no mínimo 10 (dez) quilômetros do local onde está situado o endereço funcional do Chefe do Poder Executivo, pelo prazo de 10 (dez) anos após a sua instalação.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§ 1º As isenções previstas nos incisos IV a VII somente produzirão efeitos após seu reconhecimento pelo órgão municipal competente, na forma estabelecida pelo Poder Executivo.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F84484">
        <w:rPr>
          <w:b/>
          <w:highlight w:val="yellow"/>
        </w:rPr>
        <w:t>§ 2º Os beneficiários das isenções de que trata este artigo deverão solicitar a sua renovação quinquenalmente, exceto os beneficiários previstos nos incisos IV a VII, que deverão requerer</w:t>
      </w:r>
      <w:r w:rsidRPr="00AF2EA1">
        <w:rPr>
          <w:b/>
        </w:rPr>
        <w:t xml:space="preserve"> </w:t>
      </w:r>
      <w:r w:rsidRPr="00F84484">
        <w:rPr>
          <w:b/>
          <w:highlight w:val="yellow"/>
        </w:rPr>
        <w:lastRenderedPageBreak/>
        <w:t>sua renovação trienalmente, em ambos os casos até 30 de junho de cada ano, com a comprovação dos requisitos necessários à fruição do benefício fiscal.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§ 3º Excluem-se, no caso do inciso III, as áreas destinadas à prática de comércio ou serviços preponderantemente destinados ao atendimento de não associados, ainda que estejam dentro dos limites da propriedade, mas com acesso independente.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§ 4º os imóveis declarados Tombados ou Preservados, pelo Conselho de Preservação do Patrimônio Municipal - COPPAM poderão ter suas alíquotas reduzidas em até 80% (oitenta por cento), observados os seguintes limites: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I - Quanto às fachadas do imóvel (limite de 40%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proofErr w:type="gramStart"/>
      <w:r w:rsidRPr="00AF2EA1">
        <w:t>a) Quanto</w:t>
      </w:r>
      <w:proofErr w:type="gramEnd"/>
      <w:r w:rsidRPr="00AF2EA1">
        <w:t xml:space="preserve"> ao estilo (limite de 35%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1. Originais - redução de 35%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2. Restauradas - redução de 35%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3. Reformadas (vão e materiais originais e ornamento integral) - redução de 25%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4. Reformadas (vão original e ornamento integral) - redução de 20%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5. Reformadas (vão original ou ornamento integral) - redução de 10% da alíquota.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proofErr w:type="gramStart"/>
      <w:r w:rsidRPr="00AF2EA1">
        <w:t>b) Quanto</w:t>
      </w:r>
      <w:proofErr w:type="gramEnd"/>
      <w:r w:rsidRPr="00AF2EA1">
        <w:t xml:space="preserve"> à conservação (limite de 5%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1. Ótimo - redução de 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2. Bom - redução de 2%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II - Quanto à cobertura do imóvel (limite de 20%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proofErr w:type="gramStart"/>
      <w:r w:rsidRPr="00AF2EA1">
        <w:t>a) Quanto</w:t>
      </w:r>
      <w:proofErr w:type="gramEnd"/>
      <w:r w:rsidRPr="00AF2EA1">
        <w:t xml:space="preserve"> ao estilo (limite de 15%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1. Originais - redução de 15%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2. Restauradas - redução de 15%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3. Reformadas (sem descaracterização) - redução de 10%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proofErr w:type="gramStart"/>
      <w:r w:rsidRPr="00AF2EA1">
        <w:t>b) Quanto</w:t>
      </w:r>
      <w:proofErr w:type="gramEnd"/>
      <w:r w:rsidRPr="00AF2EA1">
        <w:t xml:space="preserve"> à conservação (limite de 5%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1. Ótimo - redução de 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2. Bom - redução de 2%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lastRenderedPageBreak/>
        <w:t>III - Quanto à volumetria do imóvel (limite de 10%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proofErr w:type="gramStart"/>
      <w:r w:rsidRPr="00AF2EA1">
        <w:t>a) Quanto</w:t>
      </w:r>
      <w:proofErr w:type="gramEnd"/>
      <w:r w:rsidRPr="00AF2EA1">
        <w:t xml:space="preserve"> ao estilo (limite de 10%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1. Originais - redução de 10%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2. Restauradas - redução de 10%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3. Reformadas (sem descaracterização) - redução de 5%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IV - Quanto ao paisagismo do imóvel (limite de 10% da alíquota):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proofErr w:type="gramStart"/>
      <w:r w:rsidRPr="00AF2EA1">
        <w:t>a) Quanto</w:t>
      </w:r>
      <w:proofErr w:type="gramEnd"/>
      <w:r w:rsidRPr="00AF2EA1">
        <w:t xml:space="preserve"> ao estilo (limite de 10% da alíquota)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1. Originais - redução de 10%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2. Restauradas - redução de 10% da alíquota;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3. Reformadas (sem descaracterização) - redução de 5% da alíquota;</w:t>
      </w:r>
    </w:p>
    <w:p w:rsid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6F4075" w:rsidP="00AF2EA1">
      <w:pPr>
        <w:tabs>
          <w:tab w:val="left" w:pos="3906"/>
          <w:tab w:val="center" w:pos="4252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Redução de A</w:t>
      </w:r>
      <w:r w:rsidR="00AF2EA1" w:rsidRPr="00AF2EA1">
        <w:rPr>
          <w:b/>
          <w:sz w:val="32"/>
          <w:szCs w:val="32"/>
          <w:u w:val="single"/>
        </w:rPr>
        <w:t>líquota</w:t>
      </w:r>
      <w:r w:rsidR="00F84484">
        <w:rPr>
          <w:b/>
          <w:sz w:val="32"/>
          <w:szCs w:val="32"/>
          <w:u w:val="single"/>
        </w:rPr>
        <w:t>/Código Tributário  Municipal</w:t>
      </w:r>
    </w:p>
    <w:p w:rsidR="00AF2EA1" w:rsidRPr="00AF2EA1" w:rsidRDefault="00AF2EA1" w:rsidP="00AF2EA1">
      <w:pPr>
        <w:tabs>
          <w:tab w:val="left" w:pos="3906"/>
          <w:tab w:val="center" w:pos="4252"/>
        </w:tabs>
        <w:jc w:val="center"/>
        <w:rPr>
          <w:b/>
          <w:sz w:val="32"/>
          <w:szCs w:val="32"/>
        </w:rPr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Art. 236 O beneficiário da isenção prevista no artigo anterior é obrigado a comunicar à Prefeitura, no prazo de 30 (trinta) dias, qualquer ocorrência que possa implicar o cancelamento do benefício.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Parágrafo único. As isenções serão canceladas quando caracterizada a insubsistência das razões que as determinaram.</w:t>
      </w: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</w:pPr>
      <w:r w:rsidRPr="00AF2EA1">
        <w:t>Art. 237 Com exceção dos casos expressamente previstos nesta lei, a isenção do imposto não acarreta a isenção de outros tributos.</w:t>
      </w:r>
    </w:p>
    <w:p w:rsid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>Art. 323 A título de incentivo fiscal ficam concedidos os seguintes redutores de alíquotas do ISSQN devido por contribuintes inscritos na Secretaria Municipal de Fazenda, nos casos específicos abaixo relacionados: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highlight w:val="yellow"/>
        </w:rPr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  <w:rPr>
          <w:b/>
        </w:rPr>
      </w:pPr>
      <w:r w:rsidRPr="00F84484">
        <w:rPr>
          <w:b/>
          <w:highlight w:val="yellow"/>
        </w:rPr>
        <w:t xml:space="preserve">I - </w:t>
      </w:r>
      <w:proofErr w:type="gramStart"/>
      <w:r w:rsidRPr="00F84484">
        <w:rPr>
          <w:b/>
          <w:highlight w:val="yellow"/>
        </w:rPr>
        <w:t>redutor</w:t>
      </w:r>
      <w:proofErr w:type="gramEnd"/>
      <w:r w:rsidRPr="00F84484">
        <w:rPr>
          <w:b/>
          <w:highlight w:val="yellow"/>
        </w:rPr>
        <w:t xml:space="preserve"> de 25,00% (vinte e cinco por cento) sobre a alíquota aplicável, em se tratando de serviços prestados à PETROBRÁS S/A - Petróleo brasileiro S/A - ou a empresas afins por qualquer pessoa física ou jurídica, ainda que através de </w:t>
      </w:r>
      <w:proofErr w:type="spellStart"/>
      <w:r w:rsidRPr="00F84484">
        <w:rPr>
          <w:b/>
          <w:highlight w:val="yellow"/>
        </w:rPr>
        <w:t>sub-empreitada</w:t>
      </w:r>
      <w:proofErr w:type="spellEnd"/>
      <w:r w:rsidRPr="00F84484">
        <w:rPr>
          <w:b/>
          <w:highlight w:val="yellow"/>
        </w:rPr>
        <w:t>;</w:t>
      </w:r>
    </w:p>
    <w:p w:rsid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 xml:space="preserve">I - </w:t>
      </w:r>
      <w:proofErr w:type="gramStart"/>
      <w:r w:rsidRPr="00F84484">
        <w:rPr>
          <w:b/>
          <w:highlight w:val="yellow"/>
        </w:rPr>
        <w:t>redutor</w:t>
      </w:r>
      <w:proofErr w:type="gramEnd"/>
      <w:r w:rsidRPr="00F84484">
        <w:rPr>
          <w:b/>
          <w:highlight w:val="yellow"/>
        </w:rPr>
        <w:t xml:space="preserve"> de 25,00% (vinte e cinco por cento) sobre a alíquota aplicável, em se tratando de serviços prestados à PETROBRÁS S/A - Petróleo brasileiro S/A - ou a empresas afins por qualquer pessoa física ou jurídica, ainda que através de </w:t>
      </w:r>
      <w:proofErr w:type="spellStart"/>
      <w:r w:rsidRPr="00F84484">
        <w:rPr>
          <w:b/>
          <w:highlight w:val="yellow"/>
        </w:rPr>
        <w:t>sub-empreitada</w:t>
      </w:r>
      <w:proofErr w:type="spellEnd"/>
      <w:r w:rsidRPr="00F84484">
        <w:rPr>
          <w:b/>
          <w:highlight w:val="yellow"/>
        </w:rPr>
        <w:t>, desde que respeitada a limitação do art. 8-A da LC 116/03. (Redação dada pela Lei Complementar nº 7/2018)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highlight w:val="yellow"/>
        </w:rPr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 xml:space="preserve">II - </w:t>
      </w:r>
      <w:proofErr w:type="gramStart"/>
      <w:r w:rsidRPr="00F84484">
        <w:rPr>
          <w:b/>
          <w:highlight w:val="yellow"/>
        </w:rPr>
        <w:t>redutor</w:t>
      </w:r>
      <w:proofErr w:type="gramEnd"/>
      <w:r w:rsidRPr="00F84484">
        <w:rPr>
          <w:b/>
          <w:highlight w:val="yellow"/>
        </w:rPr>
        <w:t xml:space="preserve"> de 25,00% (vinte e cinco por cento) sobre a alíquota aplicável, pelo prazo de 24 (vinte e quatro) meses, contados da data do deferimento de seu requerimento, em se tratando de quaisquer atividades de empresas prestadoras de serviços, desde que instaladas a partir do mês de junho de 2011, em qualquer parte do território deste Município;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highlight w:val="yellow"/>
        </w:rPr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 xml:space="preserve">II - </w:t>
      </w:r>
      <w:proofErr w:type="gramStart"/>
      <w:r w:rsidRPr="00F84484">
        <w:rPr>
          <w:b/>
          <w:highlight w:val="yellow"/>
        </w:rPr>
        <w:t>redutor</w:t>
      </w:r>
      <w:proofErr w:type="gramEnd"/>
      <w:r w:rsidRPr="00F84484">
        <w:rPr>
          <w:b/>
          <w:highlight w:val="yellow"/>
        </w:rPr>
        <w:t xml:space="preserve"> de 25,00% (vinte e cinco por cento) sobre a alíquota aplicável, pelo prazo de 24 (vinte e quatro) meses, contados da data do deferimento de seu requerimento, em se tratando de quaisquer atividades de empresas prestadoras de serviços, desde que instaladas a partir do mês de junho de 2011, em qualquer parte do território deste Município, desde que respeitada a limitação do art. 8-A da LC 116/03. (Redação dada pela Lei Complementar nº 7/2018)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>III - redutor de 50,00% (cinquenta por cento) sobre a alíquota aplicável, em se tratando de serviços prestados por empresas que firmem convênio de responsabilidade social junto à Prefeitura Municipal de Campos dos Goytacazes, conforme dispuser regulamento;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  <w:r w:rsidRPr="00F84484">
        <w:rPr>
          <w:b/>
          <w:highlight w:val="yellow"/>
        </w:rPr>
        <w:t xml:space="preserve">IV - </w:t>
      </w:r>
      <w:proofErr w:type="gramStart"/>
      <w:r w:rsidRPr="00F84484">
        <w:rPr>
          <w:b/>
          <w:highlight w:val="yellow"/>
        </w:rPr>
        <w:t>redutor</w:t>
      </w:r>
      <w:proofErr w:type="gramEnd"/>
      <w:r w:rsidRPr="00F84484">
        <w:rPr>
          <w:b/>
          <w:highlight w:val="yellow"/>
        </w:rPr>
        <w:t xml:space="preserve"> de 25,00% (vinte e cinco por cento) sobre a alíquota aplicável, em se tratando de serviços prestados pela PETROBRÁS.</w:t>
      </w:r>
    </w:p>
    <w:p w:rsidR="00AF2EA1" w:rsidRPr="00F84484" w:rsidRDefault="00AF2EA1" w:rsidP="006F4075">
      <w:pPr>
        <w:tabs>
          <w:tab w:val="left" w:pos="3906"/>
          <w:tab w:val="center" w:pos="4252"/>
        </w:tabs>
        <w:jc w:val="both"/>
        <w:rPr>
          <w:b/>
          <w:highlight w:val="yellow"/>
        </w:rPr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  <w:rPr>
          <w:b/>
        </w:rPr>
      </w:pPr>
      <w:r w:rsidRPr="00F84484">
        <w:rPr>
          <w:b/>
          <w:highlight w:val="yellow"/>
        </w:rPr>
        <w:t>§ 1º Em hipótese alguma, a redução a que se referem os incisos deste artigo poderá ser cumulada, bem como resultar na aplicação de alíquota inferior a 2,00% (dois por cento).</w:t>
      </w:r>
    </w:p>
    <w:p w:rsid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Default="00AF2EA1" w:rsidP="006F4075">
      <w:pPr>
        <w:tabs>
          <w:tab w:val="left" w:pos="3906"/>
          <w:tab w:val="center" w:pos="4252"/>
        </w:tabs>
        <w:jc w:val="both"/>
      </w:pPr>
      <w:r>
        <w:t>§ 2º Os benefícios instituídos, neste artigo ficam também condicionados ao pagamento de imposto dentro do prazo previsto no Calendário Fiscal.</w:t>
      </w:r>
    </w:p>
    <w:p w:rsidR="00AF2EA1" w:rsidRDefault="00AF2EA1" w:rsidP="006F4075">
      <w:pPr>
        <w:tabs>
          <w:tab w:val="left" w:pos="3906"/>
          <w:tab w:val="center" w:pos="4252"/>
        </w:tabs>
        <w:jc w:val="both"/>
      </w:pPr>
    </w:p>
    <w:p w:rsidR="00AF2EA1" w:rsidRPr="00AF2EA1" w:rsidRDefault="00AF2EA1" w:rsidP="006F4075">
      <w:pPr>
        <w:tabs>
          <w:tab w:val="left" w:pos="3906"/>
          <w:tab w:val="center" w:pos="4252"/>
        </w:tabs>
        <w:jc w:val="both"/>
        <w:rPr>
          <w:b/>
        </w:rPr>
      </w:pPr>
      <w:r w:rsidRPr="00F84484">
        <w:rPr>
          <w:highlight w:val="yellow"/>
        </w:rPr>
        <w:t xml:space="preserve">§ 3º Os redutores de que trata este artigo </w:t>
      </w:r>
      <w:r w:rsidRPr="00F84484">
        <w:rPr>
          <w:b/>
          <w:highlight w:val="yellow"/>
        </w:rPr>
        <w:t>serão aplicados apenas em favor das empresas que atuam sob o "regime offshore".</w:t>
      </w:r>
    </w:p>
    <w:sectPr w:rsidR="00AF2EA1" w:rsidRPr="00AF2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06A"/>
    <w:multiLevelType w:val="hybridMultilevel"/>
    <w:tmpl w:val="FDF0A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1"/>
    <w:rsid w:val="006F4075"/>
    <w:rsid w:val="007D7697"/>
    <w:rsid w:val="00AF2EA1"/>
    <w:rsid w:val="00B73232"/>
    <w:rsid w:val="00F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423C-5393-43FF-B624-01A1854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2E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2022-11-03T18:28:00Z</cp:lastPrinted>
  <dcterms:created xsi:type="dcterms:W3CDTF">2022-11-17T19:55:00Z</dcterms:created>
  <dcterms:modified xsi:type="dcterms:W3CDTF">2022-11-17T19:55:00Z</dcterms:modified>
</cp:coreProperties>
</file>